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F31" w:rsidRDefault="008D3D5C">
      <w:r>
        <w:rPr>
          <w:noProof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5" type="#_x0000_t32" style="position:absolute;margin-left:443.65pt;margin-top:430.15pt;width:22.5pt;height:17.25pt;flip:x;z-index:251695104" o:connectortype="straight"/>
        </w:pict>
      </w:r>
      <w:r>
        <w:rPr>
          <w:noProof/>
          <w:lang w:eastAsia="fr-FR"/>
        </w:rPr>
        <w:pict>
          <v:shape id="_x0000_s1064" type="#_x0000_t32" style="position:absolute;margin-left:556.15pt;margin-top:430.15pt;width:15.75pt;height:17.25pt;z-index:251694080" o:connectortype="straight"/>
        </w:pict>
      </w:r>
      <w:r>
        <w:rPr>
          <w:noProof/>
          <w:lang w:eastAsia="fr-FR"/>
        </w:rPr>
        <w:pict>
          <v:shape id="_x0000_s1063" type="#_x0000_t32" style="position:absolute;margin-left:580.9pt;margin-top:373.9pt;width:30.75pt;height:5.25pt;z-index:251693056" o:connectortype="straight"/>
        </w:pict>
      </w:r>
      <w:r>
        <w:rPr>
          <w:noProof/>
          <w:lang w:eastAsia="fr-FR"/>
        </w:rPr>
        <w:pict>
          <v:shape id="_x0000_s1062" type="#_x0000_t32" style="position:absolute;margin-left:412.9pt;margin-top:298.9pt;width:46.5pt;height:49.5pt;z-index:251692032" o:connectortype="straight"/>
        </w:pict>
      </w: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9" type="#_x0000_t202" style="position:absolute;margin-left:293.65pt;margin-top:418.9pt;width:150pt;height:74.25pt;z-index:251688960">
            <v:textbox>
              <w:txbxContent>
                <w:p w:rsidR="008D3D5C" w:rsidRDefault="008D3D5C" w:rsidP="008D3D5C">
                  <w:pPr>
                    <w:jc w:val="center"/>
                  </w:pPr>
                  <w:r>
                    <w:t>Moyens de transports : réseaux routiers, ferrés, aériens, maritimes, plateformes multimodales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61" type="#_x0000_t202" style="position:absolute;margin-left:550.15pt;margin-top:447.4pt;width:120.75pt;height:45.75pt;z-index:251691008">
            <v:textbox>
              <w:txbxContent>
                <w:p w:rsidR="008D3D5C" w:rsidRDefault="008D3D5C" w:rsidP="008D3D5C">
                  <w:pPr>
                    <w:jc w:val="center"/>
                  </w:pPr>
                  <w:r>
                    <w:t>Internet, téléphone, réseaux sociaux, etc.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60" type="#_x0000_t202" style="position:absolute;margin-left:611.65pt;margin-top:364.15pt;width:112.5pt;height:40.5pt;z-index:251689984">
            <v:textbox>
              <w:txbxContent>
                <w:p w:rsidR="008D3D5C" w:rsidRDefault="008D3D5C" w:rsidP="008D3D5C">
                  <w:pPr>
                    <w:jc w:val="center"/>
                  </w:pPr>
                  <w:r>
                    <w:t>Banques, places boursières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6" type="#_x0000_t202" style="position:absolute;margin-left:472.15pt;margin-top:373.9pt;width:71.25pt;height:27pt;z-index:251665408" strokecolor="white [3212]">
            <v:textbox>
              <w:txbxContent>
                <w:p w:rsidR="001D5689" w:rsidRPr="001D5689" w:rsidRDefault="001D5689">
                  <w:pPr>
                    <w:rPr>
                      <w:b/>
                      <w:sz w:val="28"/>
                      <w:szCs w:val="28"/>
                    </w:rPr>
                  </w:pPr>
                  <w:r w:rsidRPr="001D5689">
                    <w:rPr>
                      <w:b/>
                      <w:sz w:val="28"/>
                      <w:szCs w:val="28"/>
                    </w:rPr>
                    <w:t>RESEAUX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oval id="_x0000_s1029" style="position:absolute;margin-left:438.4pt;margin-top:334.9pt;width:142.5pt;height:102.75pt;z-index:251661312" fillcolor="#8064a2 [3207]" strokecolor="#f2f2f2 [3041]" strokeweight="3pt">
            <v:shadow on="t" type="perspective" color="#3f3151 [1607]" opacity=".5" offset="1pt" offset2="-1pt"/>
          </v:oval>
        </w:pict>
      </w:r>
      <w:r w:rsidR="0056161A">
        <w:rPr>
          <w:noProof/>
          <w:lang w:eastAsia="fr-FR"/>
        </w:rPr>
        <w:pict>
          <v:shape id="_x0000_s1058" type="#_x0000_t32" style="position:absolute;margin-left:611.65pt;margin-top:168.4pt;width:24.75pt;height:15.75pt;flip:x y;z-index:251687936" o:connectortype="straight"/>
        </w:pict>
      </w:r>
      <w:r w:rsidR="0056161A">
        <w:rPr>
          <w:noProof/>
          <w:lang w:eastAsia="fr-FR"/>
        </w:rPr>
        <w:pict>
          <v:shape id="_x0000_s1057" type="#_x0000_t32" style="position:absolute;margin-left:629.65pt;margin-top:119.65pt;width:25.5pt;height:0;flip:x;z-index:251686912" o:connectortype="straight"/>
        </w:pict>
      </w:r>
      <w:r w:rsidR="0056161A">
        <w:rPr>
          <w:noProof/>
          <w:lang w:eastAsia="fr-FR"/>
        </w:rPr>
        <w:pict>
          <v:shape id="_x0000_s1056" type="#_x0000_t32" style="position:absolute;margin-left:595.15pt;margin-top:68.65pt;width:12.75pt;height:28.5pt;flip:x;z-index:251685888" o:connectortype="straight"/>
        </w:pict>
      </w:r>
      <w:r w:rsidR="0056161A">
        <w:rPr>
          <w:noProof/>
          <w:lang w:eastAsia="fr-FR"/>
        </w:rPr>
        <w:pict>
          <v:shape id="_x0000_s1055" type="#_x0000_t32" style="position:absolute;margin-left:523.15pt;margin-top:76.9pt;width:8.25pt;height:16.5pt;z-index:251684864" o:connectortype="straight"/>
        </w:pict>
      </w:r>
      <w:r w:rsidR="0056161A">
        <w:rPr>
          <w:noProof/>
          <w:lang w:eastAsia="fr-FR"/>
        </w:rPr>
        <w:pict>
          <v:shape id="_x0000_s1054" type="#_x0000_t202" style="position:absolute;margin-left:636.4pt;margin-top:168.4pt;width:110.25pt;height:28.5pt;z-index:251683840">
            <v:textbox>
              <w:txbxContent>
                <w:p w:rsidR="0056161A" w:rsidRDefault="0056161A" w:rsidP="0056161A">
                  <w:pPr>
                    <w:jc w:val="center"/>
                  </w:pPr>
                  <w:r>
                    <w:t>Flux d’informations</w:t>
                  </w:r>
                </w:p>
              </w:txbxContent>
            </v:textbox>
          </v:shape>
        </w:pict>
      </w:r>
      <w:r w:rsidR="0056161A">
        <w:rPr>
          <w:noProof/>
          <w:lang w:eastAsia="fr-FR"/>
        </w:rPr>
        <w:pict>
          <v:shape id="_x0000_s1053" type="#_x0000_t202" style="position:absolute;margin-left:655.15pt;margin-top:89.65pt;width:87.75pt;height:43.5pt;z-index:251682816">
            <v:textbox>
              <w:txbxContent>
                <w:p w:rsidR="0056161A" w:rsidRDefault="0056161A" w:rsidP="0056161A">
                  <w:pPr>
                    <w:jc w:val="center"/>
                  </w:pPr>
                  <w:r>
                    <w:t>Flux de capitaux (financiers)</w:t>
                  </w:r>
                </w:p>
              </w:txbxContent>
            </v:textbox>
          </v:shape>
        </w:pict>
      </w:r>
      <w:r w:rsidR="0056161A">
        <w:rPr>
          <w:noProof/>
          <w:lang w:eastAsia="fr-FR"/>
        </w:rPr>
        <w:pict>
          <v:shape id="_x0000_s1052" type="#_x0000_t202" style="position:absolute;margin-left:571.9pt;margin-top:19.15pt;width:99pt;height:49.5pt;z-index:251681792">
            <v:textbox>
              <w:txbxContent>
                <w:p w:rsidR="0056161A" w:rsidRDefault="0056161A" w:rsidP="0056161A">
                  <w:pPr>
                    <w:jc w:val="center"/>
                  </w:pPr>
                  <w:r>
                    <w:t>Flux migratoires (personnes)</w:t>
                  </w:r>
                </w:p>
              </w:txbxContent>
            </v:textbox>
          </v:shape>
        </w:pict>
      </w:r>
      <w:r w:rsidR="0056161A">
        <w:rPr>
          <w:noProof/>
          <w:lang w:eastAsia="fr-FR"/>
        </w:rPr>
        <w:pict>
          <v:shape id="_x0000_s1051" type="#_x0000_t202" style="position:absolute;margin-left:443.65pt;margin-top:-1.85pt;width:91.5pt;height:78.75pt;z-index:251680768">
            <v:textbox>
              <w:txbxContent>
                <w:p w:rsidR="0056161A" w:rsidRDefault="0056161A" w:rsidP="0056161A">
                  <w:pPr>
                    <w:jc w:val="center"/>
                  </w:pPr>
                  <w:r>
                    <w:t>Flux commerciaux (biens, matières premières, etc.)</w:t>
                  </w:r>
                </w:p>
              </w:txbxContent>
            </v:textbox>
          </v:shape>
        </w:pict>
      </w:r>
      <w:r w:rsidR="0056161A">
        <w:rPr>
          <w:noProof/>
          <w:lang w:eastAsia="fr-FR"/>
        </w:rPr>
        <w:pict>
          <v:shape id="_x0000_s1050" type="#_x0000_t32" style="position:absolute;margin-left:435.4pt;margin-top:161.65pt;width:59.25pt;height:31.5pt;flip:y;z-index:251679744" o:connectortype="straight"/>
        </w:pict>
      </w:r>
      <w:r w:rsidR="0056161A">
        <w:rPr>
          <w:noProof/>
          <w:lang w:eastAsia="fr-FR"/>
        </w:rPr>
        <w:pict>
          <v:shape id="_x0000_s1049" type="#_x0000_t32" style="position:absolute;margin-left:158.65pt;margin-top:161.65pt;width:0;height:31.5pt;flip:y;z-index:251678720" o:connectortype="straight"/>
        </w:pict>
      </w:r>
      <w:r w:rsidR="0056161A">
        <w:rPr>
          <w:noProof/>
          <w:lang w:eastAsia="fr-FR"/>
        </w:rPr>
        <w:pict>
          <v:shape id="_x0000_s1048" type="#_x0000_t32" style="position:absolute;margin-left:108.4pt;margin-top:148.15pt;width:18pt;height:5.25pt;flip:y;z-index:251677696" o:connectortype="straight"/>
        </w:pict>
      </w:r>
      <w:r w:rsidR="0056161A">
        <w:rPr>
          <w:noProof/>
          <w:lang w:eastAsia="fr-FR"/>
        </w:rPr>
        <w:pict>
          <v:shape id="_x0000_s1047" type="#_x0000_t32" style="position:absolute;margin-left:82.15pt;margin-top:106.15pt;width:30.75pt;height:3.75pt;z-index:251676672" o:connectortype="straight"/>
        </w:pict>
      </w:r>
      <w:r w:rsidR="0056161A">
        <w:rPr>
          <w:noProof/>
          <w:lang w:eastAsia="fr-FR"/>
        </w:rPr>
        <w:pict>
          <v:shape id="_x0000_s1046" type="#_x0000_t32" style="position:absolute;margin-left:108.4pt;margin-top:58.15pt;width:25.5pt;height:22.5pt;z-index:251675648" o:connectortype="straight"/>
        </w:pict>
      </w:r>
      <w:r w:rsidR="0056161A">
        <w:rPr>
          <w:noProof/>
          <w:lang w:eastAsia="fr-FR"/>
        </w:rPr>
        <w:pict>
          <v:shape id="_x0000_s1045" type="#_x0000_t32" style="position:absolute;margin-left:175.9pt;margin-top:40.15pt;width:2.25pt;height:28.5pt;flip:x;z-index:251674624" o:connectortype="straight"/>
        </w:pict>
      </w:r>
      <w:r w:rsidR="0056161A">
        <w:rPr>
          <w:noProof/>
          <w:lang w:eastAsia="fr-FR"/>
        </w:rPr>
        <w:pict>
          <v:shape id="_x0000_s1044" type="#_x0000_t32" style="position:absolute;margin-left:211.9pt;margin-top:76.9pt;width:21.75pt;height:8.25pt;flip:x;z-index:251673600" o:connectortype="straight"/>
        </w:pict>
      </w:r>
      <w:r w:rsidR="0056161A">
        <w:rPr>
          <w:noProof/>
          <w:lang w:eastAsia="fr-FR"/>
        </w:rPr>
        <w:pict>
          <v:shape id="_x0000_s1043" type="#_x0000_t32" style="position:absolute;margin-left:222.4pt;margin-top:143.65pt;width:54pt;height:40.5pt;z-index:251672576" o:connectortype="straight"/>
        </w:pict>
      </w:r>
      <w:r w:rsidR="0056161A">
        <w:rPr>
          <w:noProof/>
          <w:lang w:eastAsia="fr-FR"/>
        </w:rPr>
        <w:pict>
          <v:shape id="_x0000_s1033" type="#_x0000_t202" style="position:absolute;margin-left:531.4pt;margin-top:119.65pt;width:49.5pt;height:28.5pt;z-index:251664384" strokecolor="white [3212]">
            <v:textbox>
              <w:txbxContent>
                <w:p w:rsidR="001D5689" w:rsidRPr="001D5689" w:rsidRDefault="001D5689">
                  <w:pPr>
                    <w:rPr>
                      <w:b/>
                      <w:sz w:val="28"/>
                      <w:szCs w:val="28"/>
                    </w:rPr>
                  </w:pPr>
                  <w:r w:rsidRPr="001D5689">
                    <w:rPr>
                      <w:b/>
                      <w:sz w:val="28"/>
                      <w:szCs w:val="28"/>
                    </w:rPr>
                    <w:t>FLUX</w:t>
                  </w:r>
                </w:p>
              </w:txbxContent>
            </v:textbox>
          </v:shape>
        </w:pict>
      </w:r>
      <w:r w:rsidR="0056161A">
        <w:rPr>
          <w:noProof/>
          <w:lang w:eastAsia="fr-FR"/>
        </w:rPr>
        <w:pict>
          <v:shape id="_x0000_s1032" type="#_x0000_t202" style="position:absolute;margin-left:287.65pt;margin-top:216.4pt;width:139.5pt;height:33.75pt;z-index:251663360" strokecolor="white [3212]">
            <v:textbox>
              <w:txbxContent>
                <w:p w:rsidR="001D5689" w:rsidRPr="001D5689" w:rsidRDefault="001D5689">
                  <w:pPr>
                    <w:rPr>
                      <w:b/>
                      <w:sz w:val="32"/>
                      <w:szCs w:val="32"/>
                    </w:rPr>
                  </w:pPr>
                  <w:r w:rsidRPr="001D5689">
                    <w:rPr>
                      <w:b/>
                      <w:sz w:val="32"/>
                      <w:szCs w:val="32"/>
                    </w:rPr>
                    <w:t>MONDIALISATION</w:t>
                  </w:r>
                </w:p>
              </w:txbxContent>
            </v:textbox>
          </v:shape>
        </w:pict>
      </w:r>
      <w:r w:rsidR="0056161A">
        <w:rPr>
          <w:noProof/>
          <w:lang w:eastAsia="fr-FR"/>
        </w:rPr>
        <w:pict>
          <v:shape id="_x0000_s1042" type="#_x0000_t202" style="position:absolute;margin-left:233.65pt;margin-top:-1.85pt;width:113.25pt;height:91.5pt;z-index:251671552">
            <v:textbox>
              <w:txbxContent>
                <w:p w:rsidR="0056161A" w:rsidRDefault="0056161A">
                  <w:r>
                    <w:t>Les organisations non-gouvernementales (MSF, Handicap International, etc.)</w:t>
                  </w:r>
                </w:p>
              </w:txbxContent>
            </v:textbox>
          </v:shape>
        </w:pict>
      </w:r>
      <w:r w:rsidR="0056161A">
        <w:rPr>
          <w:noProof/>
          <w:lang w:eastAsia="fr-FR"/>
        </w:rPr>
        <w:pict>
          <v:shape id="_x0000_s1038" type="#_x0000_t202" style="position:absolute;margin-left:133.9pt;margin-top:-36.35pt;width:88.5pt;height:76.5pt;z-index:251667456">
            <v:textbox>
              <w:txbxContent>
                <w:p w:rsidR="001D5689" w:rsidRDefault="0056161A" w:rsidP="0056161A">
                  <w:pPr>
                    <w:jc w:val="center"/>
                  </w:pPr>
                  <w:r>
                    <w:t>Organisations internationales (OMC</w:t>
                  </w:r>
                  <w:r w:rsidR="001D5689">
                    <w:t>, FMI,</w:t>
                  </w:r>
                  <w:r>
                    <w:t xml:space="preserve"> ONU,</w:t>
                  </w:r>
                  <w:r w:rsidR="001D5689">
                    <w:t xml:space="preserve"> etc.)</w:t>
                  </w:r>
                </w:p>
              </w:txbxContent>
            </v:textbox>
          </v:shape>
        </w:pict>
      </w:r>
      <w:r w:rsidR="0056161A">
        <w:rPr>
          <w:noProof/>
          <w:lang w:eastAsia="fr-FR"/>
        </w:rPr>
        <w:pict>
          <v:shape id="_x0000_s1041" type="#_x0000_t202" style="position:absolute;margin-left:63.4pt;margin-top:193.15pt;width:106.5pt;height:41.25pt;z-index:251670528">
            <v:textbox>
              <w:txbxContent>
                <w:p w:rsidR="0056161A" w:rsidRDefault="0056161A" w:rsidP="0056161A">
                  <w:pPr>
                    <w:jc w:val="center"/>
                  </w:pPr>
                  <w:r>
                    <w:t xml:space="preserve">Les Firmes </w:t>
                  </w:r>
                  <w:proofErr w:type="spellStart"/>
                  <w:r>
                    <w:t>Trans</w:t>
                  </w:r>
                  <w:proofErr w:type="spellEnd"/>
                  <w:r>
                    <w:t xml:space="preserve"> -Nationales</w:t>
                  </w:r>
                </w:p>
              </w:txbxContent>
            </v:textbox>
          </v:shape>
        </w:pict>
      </w:r>
      <w:r w:rsidR="0056161A">
        <w:rPr>
          <w:noProof/>
          <w:lang w:eastAsia="fr-FR"/>
        </w:rPr>
        <w:pict>
          <v:shape id="_x0000_s1040" type="#_x0000_t202" style="position:absolute;margin-left:20.65pt;margin-top:153.4pt;width:87.75pt;height:25.5pt;z-index:251669504">
            <v:textbox>
              <w:txbxContent>
                <w:p w:rsidR="0056161A" w:rsidRDefault="0056161A" w:rsidP="0056161A">
                  <w:pPr>
                    <w:jc w:val="center"/>
                  </w:pPr>
                  <w:r>
                    <w:t>Les citoyens</w:t>
                  </w:r>
                </w:p>
              </w:txbxContent>
            </v:textbox>
          </v:shape>
        </w:pict>
      </w:r>
      <w:r w:rsidR="0056161A">
        <w:rPr>
          <w:noProof/>
          <w:lang w:eastAsia="fr-FR"/>
        </w:rPr>
        <w:pict>
          <v:shape id="_x0000_s1039" type="#_x0000_t202" style="position:absolute;margin-left:-13.85pt;margin-top:76.9pt;width:96pt;height:57pt;z-index:251668480">
            <v:textbox>
              <w:txbxContent>
                <w:p w:rsidR="0056161A" w:rsidRDefault="0056161A" w:rsidP="0056161A">
                  <w:pPr>
                    <w:jc w:val="center"/>
                  </w:pPr>
                  <w:r>
                    <w:t>Organisations régionales (Union Européenne)</w:t>
                  </w:r>
                </w:p>
              </w:txbxContent>
            </v:textbox>
          </v:shape>
        </w:pict>
      </w:r>
      <w:r w:rsidR="001D5689">
        <w:rPr>
          <w:noProof/>
          <w:lang w:eastAsia="fr-FR"/>
        </w:rPr>
        <w:pict>
          <v:shape id="_x0000_s1037" type="#_x0000_t202" style="position:absolute;margin-left:46.15pt;margin-top:16.15pt;width:80.25pt;height:42pt;z-index:251666432">
            <v:textbox>
              <w:txbxContent>
                <w:p w:rsidR="001D5689" w:rsidRDefault="001D5689" w:rsidP="001D5689">
                  <w:pPr>
                    <w:jc w:val="center"/>
                  </w:pPr>
                  <w:r>
                    <w:t>Etats, régions, villes</w:t>
                  </w:r>
                </w:p>
              </w:txbxContent>
            </v:textbox>
          </v:shape>
        </w:pict>
      </w:r>
      <w:r w:rsidR="001D5689">
        <w:rPr>
          <w:noProof/>
          <w:lang w:eastAsia="fr-FR"/>
        </w:rPr>
        <w:pict>
          <v:shape id="_x0000_s1030" type="#_x0000_t202" style="position:absolute;margin-left:133.9pt;margin-top:101.65pt;width:70.5pt;height:27.75pt;z-index:251662336" strokecolor="white [3212]">
            <v:textbox>
              <w:txbxContent>
                <w:p w:rsidR="001D5689" w:rsidRPr="001D5689" w:rsidRDefault="001D5689">
                  <w:pPr>
                    <w:rPr>
                      <w:b/>
                      <w:sz w:val="28"/>
                      <w:szCs w:val="28"/>
                    </w:rPr>
                  </w:pPr>
                  <w:r w:rsidRPr="001D5689">
                    <w:rPr>
                      <w:b/>
                      <w:sz w:val="28"/>
                      <w:szCs w:val="28"/>
                    </w:rPr>
                    <w:t>ACTEURS</w:t>
                  </w:r>
                </w:p>
              </w:txbxContent>
            </v:textbox>
          </v:shape>
        </w:pict>
      </w:r>
      <w:r w:rsidR="001D5689">
        <w:rPr>
          <w:noProof/>
          <w:lang w:eastAsia="fr-FR"/>
        </w:rPr>
        <w:pict>
          <v:oval id="_x0000_s1027" style="position:absolute;margin-left:108.4pt;margin-top:68.65pt;width:125.25pt;height:93pt;z-index:251659264" fillcolor="#4bacc6 [3208]" strokecolor="#f2f2f2 [3041]" strokeweight="3pt">
            <v:shadow on="t" type="perspective" color="#205867 [1608]" opacity=".5" offset="1pt" offset2="-1pt"/>
          </v:oval>
        </w:pict>
      </w:r>
      <w:r w:rsidR="001D5689">
        <w:rPr>
          <w:noProof/>
          <w:lang w:eastAsia="fr-FR"/>
        </w:rPr>
        <w:pict>
          <v:oval id="_x0000_s1026" style="position:absolute;margin-left:251.65pt;margin-top:157.15pt;width:201pt;height:153pt;z-index:251658240" fillcolor="#f79646 [3209]" strokecolor="#f2f2f2 [3041]" strokeweight="3pt">
            <v:shadow on="t" type="perspective" color="#974706 [1609]" opacity=".5" offset="1pt" offset2="-1pt"/>
          </v:oval>
        </w:pict>
      </w:r>
      <w:r w:rsidR="001D5689">
        <w:rPr>
          <w:noProof/>
          <w:lang w:eastAsia="fr-FR"/>
        </w:rPr>
        <w:pict>
          <v:oval id="_x0000_s1028" style="position:absolute;margin-left:484.15pt;margin-top:89.65pt;width:145.5pt;height:89.25pt;z-index:251660288" fillcolor="#9bbb59 [3206]" strokecolor="#f2f2f2 [3041]" strokeweight="3pt">
            <v:shadow on="t" type="perspective" color="#4e6128 [1606]" opacity=".5" offset="1pt" offset2="-1pt"/>
          </v:oval>
        </w:pict>
      </w:r>
    </w:p>
    <w:sectPr w:rsidR="00BF2F31" w:rsidSect="001D568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D5689"/>
    <w:rsid w:val="00104D59"/>
    <w:rsid w:val="001D5689"/>
    <w:rsid w:val="0056161A"/>
    <w:rsid w:val="008D3D5C"/>
    <w:rsid w:val="00BF2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3212]"/>
    </o:shapedefaults>
    <o:shapelayout v:ext="edit">
      <o:idmap v:ext="edit" data="1"/>
      <o:rules v:ext="edit">
        <o:r id="V:Rule2" type="connector" idref="#_x0000_s1043"/>
        <o:r id="V:Rule4" type="connector" idref="#_x0000_s1044"/>
        <o:r id="V:Rule6" type="connector" idref="#_x0000_s1045"/>
        <o:r id="V:Rule8" type="connector" idref="#_x0000_s1046"/>
        <o:r id="V:Rule10" type="connector" idref="#_x0000_s1047"/>
        <o:r id="V:Rule12" type="connector" idref="#_x0000_s1048"/>
        <o:r id="V:Rule14" type="connector" idref="#_x0000_s1049"/>
        <o:r id="V:Rule16" type="connector" idref="#_x0000_s1050"/>
        <o:r id="V:Rule18" type="connector" idref="#_x0000_s1055"/>
        <o:r id="V:Rule20" type="connector" idref="#_x0000_s1056"/>
        <o:r id="V:Rule22" type="connector" idref="#_x0000_s1057"/>
        <o:r id="V:Rule24" type="connector" idref="#_x0000_s1058"/>
        <o:r id="V:Rule26" type="connector" idref="#_x0000_s1062"/>
        <o:r id="V:Rule28" type="connector" idref="#_x0000_s1063"/>
        <o:r id="V:Rule30" type="connector" idref="#_x0000_s1064"/>
        <o:r id="V:Rule32" type="connector" idref="#_x0000_s106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F3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ricordelb</dc:creator>
  <cp:lastModifiedBy>ricordelb</cp:lastModifiedBy>
  <cp:revision>1</cp:revision>
  <dcterms:created xsi:type="dcterms:W3CDTF">2016-09-27T12:55:00Z</dcterms:created>
  <dcterms:modified xsi:type="dcterms:W3CDTF">2016-09-27T13:32:00Z</dcterms:modified>
</cp:coreProperties>
</file>